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03.08.2021 N 830н</w:t>
              <w:br/>
              <w:t xml:space="preserve">"Об утверждении стандарта медицинской помощи взрослым при анемии, обусловленной хронической болезнью почек (диагностика и лечение)"</w:t>
              <w:br/>
              <w:t xml:space="preserve">(Зарегистрировано в Минюсте России 03.09.2021 N 64893)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 сентября 2021 г. N 64893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августа 2021 г. N 830н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МЕДИЦИНСКОЙ ПОМОЩИ ВЗРОСЛЫМ ПРИ АНЕМИИ, ОБУСЛОВЛЕННОЙ</w:t>
      </w:r>
    </w:p>
    <w:p>
      <w:pPr>
        <w:pStyle w:val="2"/>
        <w:jc w:val="center"/>
      </w:pPr>
      <w:r>
        <w:rPr>
          <w:sz w:val="24"/>
        </w:rPr>
        <w:t xml:space="preserve">ХРОНИЧЕСКОЙ БОЛЕЗНЬЮ ПОЧЕК (ДИАГНОСТИКА И ЛЕЧЕНИЕ)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4 части 1 статьи 37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w:history="0" r:id="rId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5.2.18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hyperlink w:history="0" w:anchor="P28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медицинской помощи взрослым при анемии, обусловленной хронической болезнью почек (диагностика и лечение), согласно приложению.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августа 2021 г. N 830н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МЕДИЦИНСКОЙ ПОМОЩИ ВЗРОСЛЫМ ПРИ АНЕМИИ, ОБУСЛОВЛЕННОЙ</w:t>
      </w:r>
    </w:p>
    <w:p>
      <w:pPr>
        <w:pStyle w:val="2"/>
        <w:jc w:val="center"/>
      </w:pPr>
      <w:r>
        <w:rPr>
          <w:sz w:val="24"/>
        </w:rPr>
        <w:t xml:space="preserve">ХРОНИЧЕСКОЙ БОЛЕЗНЬЮ ПОЧЕК (ДИАГНОСТИКА И ЛЕЧЕНИЕ)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Возрастная категория пациента: взрослые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Пол пациента: любой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Вид медицинской помощи: специализированная медицинская помощь, первичная медико-санитарная помощь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Условия оказания медицинской помощи: стационарно, амбулаторно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Форма оказания медицинской помощи: плановая, экстренная, неотложная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Фаза течения заболевания (состояния): вне зависимости от фазы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Стадия и (или) степень тяжести заболевания (состояния): вне зависимости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Осложнения: вне зависимости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Средняя продолжительность лечения законченного случая (количество дней): 365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Нозологические единицы (код по </w:t>
      </w:r>
      <w:hyperlink w:history="0" r:id="rId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МКБ X</w:t>
        </w:r>
      </w:hyperlink>
      <w:r>
        <w:rPr>
          <w:sz w:val="24"/>
        </w:rPr>
        <w:t xml:space="preserve"> </w:t>
      </w:r>
      <w:hyperlink w:history="0" w:anchor="P258" w:tooltip="&lt;1&gt; Международная статистическая классификация болезней и проблем, связанных со здоровьем, X пересмотра.">
        <w:r>
          <w:rPr>
            <w:sz w:val="24"/>
            <w:color w:val="0000ff"/>
          </w:rPr>
          <w:t xml:space="preserve">&lt;1&gt;</w:t>
        </w:r>
      </w:hyperlink>
      <w:r>
        <w:rPr>
          <w:sz w:val="24"/>
        </w:rPr>
        <w:t xml:space="preserve">):</w:t>
      </w:r>
    </w:p>
    <w:p>
      <w:pPr>
        <w:pStyle w:val="0"/>
        <w:spacing w:before="240" w:line-rule="auto"/>
        <w:jc w:val="both"/>
      </w:pPr>
      <w:hyperlink w:history="0" r:id="rId1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D63.8</w:t>
        </w:r>
      </w:hyperlink>
      <w:r>
        <w:rPr>
          <w:sz w:val="24"/>
        </w:rPr>
        <w:t xml:space="preserve"> Анемия при других хронических болезнях, классифицированных в других рубриках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1. Медицинские услуги для диагностики заболевания, состояния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818"/>
        <w:gridCol w:w="1417"/>
        <w:gridCol w:w="1417"/>
      </w:tblGrid>
      <w:tr>
        <w:tc>
          <w:tcPr>
            <w:gridSpan w:val="4"/>
            <w:tcW w:w="9069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1.1. Прием (осмотр, консультация) врача-специалиста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медицинской услуги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медицинской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 </w:t>
            </w:r>
            <w:hyperlink w:history="0" w:anchor="P259" w:tooltip="&lt;2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кратности применения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B01.005.001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(осмотр, консультация) врача-гематолога первичный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B01.025.001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(осмотр, консультация) врача-нефролога первичный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818"/>
        <w:gridCol w:w="1417"/>
        <w:gridCol w:w="1417"/>
      </w:tblGrid>
      <w:tr>
        <w:tc>
          <w:tcPr>
            <w:gridSpan w:val="4"/>
            <w:tcW w:w="9069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1.2. Лабораторные методы исследования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медицинской услуги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медицинской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кратности применения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A09.05.076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ферритина в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A09.05.080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фолиевой кислоты в сыворотке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A12.05.019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насыщения трансферрина железом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A12.06.060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витамина B12 (цианокобаламин) в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B03.016.002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(клинический) анализ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B03.016.004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Анализ крови биохимический общетерапевтический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2. Медицинские услуги для лечения заболевания, состояния и контроля за лечением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818"/>
        <w:gridCol w:w="1417"/>
        <w:gridCol w:w="1417"/>
      </w:tblGrid>
      <w:tr>
        <w:tc>
          <w:tcPr>
            <w:gridSpan w:val="4"/>
            <w:tcW w:w="9069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2.1. Прием (осмотр, консультация) и наблюдение врача-специалиста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медицинской услуги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медицинской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кратности применения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B01.005.001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(осмотр, консультация) врача-гематолога первичный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B01.005.002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(осмотр, консультация) врача-гематолога повторный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B01.025.002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(осмотр, консультация) врача-нефролога повторный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B01.025.003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Ежедневный осмотр врачом-нефрологом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0,025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818"/>
        <w:gridCol w:w="1417"/>
        <w:gridCol w:w="1417"/>
      </w:tblGrid>
      <w:tr>
        <w:tc>
          <w:tcPr>
            <w:gridSpan w:val="4"/>
            <w:tcW w:w="9069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2.2. Лабораторные методы исследования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медицинской услуги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медицинской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кратности применения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A09.05.008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трансферрина сыворотки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A09.05.076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ферритина в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B03.016.002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(клинический) анализ крови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B03.016.004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Анализ крови биохимический общетерапевтический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818"/>
        <w:gridCol w:w="1417"/>
        <w:gridCol w:w="1417"/>
      </w:tblGrid>
      <w:tr>
        <w:tc>
          <w:tcPr>
            <w:gridSpan w:val="4"/>
            <w:tcW w:w="9069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2.3. Немедикаментозные методы профилактики, лечения и медицинской реабилитации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медицинской услуги</w:t>
            </w:r>
          </w:p>
        </w:tc>
        <w:tc>
          <w:tcPr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медицинской услуги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кратности применения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hyperlink w:history="0" r:id="rId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sz w:val="24"/>
                  <w:color w:val="0000ff"/>
                </w:rPr>
                <w:t xml:space="preserve">A18.05.012</w:t>
              </w:r>
            </w:hyperlink>
          </w:p>
        </w:tc>
        <w:tc>
          <w:tcPr>
            <w:tcW w:w="481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Гемотрансфузия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041"/>
        <w:gridCol w:w="2551"/>
        <w:gridCol w:w="1077"/>
        <w:gridCol w:w="850"/>
        <w:gridCol w:w="849"/>
        <w:gridCol w:w="850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лекарственного препарата </w:t>
            </w:r>
            <w:hyperlink w:history="0" w:anchor="P260" w:tooltip="&lt;3&gt; Международное непатентованное, или группировочное, или химическое, а в случаях их отсутствия - торговое наименование лекарственного препарата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Единицы измерения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ССД </w:t>
            </w:r>
            <w:hyperlink w:history="0" w:anchor="P261" w:tooltip="&lt;4&gt; Средняя суточная доза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СКД </w:t>
            </w:r>
            <w:hyperlink w:history="0" w:anchor="P262" w:tooltip="&lt;5&gt; Средняя курсовая доз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Железа [III] гидроксид декстран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10 200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Железа [III] гидроксид олигоизомальтозат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9 900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Железа [III] гидроксид сахарозный комплекс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9 100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мкг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1 530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тыс.МЕ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тыс.МЕ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Эпоэтин бета [метоксиполиэтиленгликоль]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мкг</w:t>
            </w: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4. Компоненты крови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1644"/>
        <w:gridCol w:w="1304"/>
        <w:gridCol w:w="841"/>
        <w:gridCol w:w="842"/>
      </w:tblGrid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компонента крови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Единицы измерения</w:t>
            </w:r>
          </w:p>
        </w:tc>
        <w:tc>
          <w:tcPr>
            <w:tcW w:w="8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ССД </w:t>
            </w:r>
            <w:hyperlink w:history="0" w:anchor="P261" w:tooltip="&lt;4&gt; Средняя суточная доза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СКД </w:t>
            </w:r>
            <w:hyperlink w:history="0" w:anchor="P262" w:tooltip="&lt;5&gt; Средняя курсовая доз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Отмытые эритроциты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Эритроцитная взвесь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Эритроцитная взвесь размороженная, отмытая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Эритроцитная масса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</w:t>
            </w:r>
          </w:p>
        </w:tc>
        <w:tc>
          <w:tcPr>
            <w:tcW w:w="8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5. Виды лечебного питания, включая специализированные продукты лечебного питания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6"/>
        <w:gridCol w:w="1417"/>
        <w:gridCol w:w="1417"/>
      </w:tblGrid>
      <w:tr>
        <w:tc>
          <w:tcPr>
            <w:gridSpan w:val="3"/>
            <w:tcW w:w="9070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5.1. Лечебное питание</w:t>
            </w:r>
          </w:p>
        </w:tc>
      </w:tr>
      <w:tr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лечебного питания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Усредненный показатель частоты предоставления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</w:tr>
      <w:tr>
        <w:tc>
          <w:tcPr>
            <w:tcW w:w="623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Основной вариант стандартной диеты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58" w:name="P258"/>
    <w:bookmarkEnd w:id="2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Международная статистическая </w:t>
      </w:r>
      <w:hyperlink w:history="0" r:id="rId2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X пересмотра.</w:t>
      </w:r>
    </w:p>
    <w:bookmarkStart w:id="259" w:name="P259"/>
    <w:bookmarkEnd w:id="2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bookmarkStart w:id="260" w:name="P260"/>
    <w:bookmarkEnd w:id="2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Международное непатентованное, или группировочное, или химическое, а в случаях их отсутствия - торговое наименование лекарственного препарата.</w:t>
      </w:r>
    </w:p>
    <w:bookmarkStart w:id="261" w:name="P261"/>
    <w:bookmarkEnd w:id="2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Средняя суточная доза.</w:t>
      </w:r>
    </w:p>
    <w:bookmarkStart w:id="262" w:name="P262"/>
    <w:bookmarkEnd w:id="2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Средняя курсовая доза.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03.08.2021 N 830н</w:t>
            <w:br/>
            <w:t>"Об утверждении стандарта медицинской помощи взрослым при анемии, обусловле...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4.10.2025&amp;dst=356&amp;field=134" TargetMode = "External"/>
	<Relationship Id="rId8" Type="http://schemas.openxmlformats.org/officeDocument/2006/relationships/hyperlink" Target="https://login.consultant.ru/link/?req=doc&amp;base=LAW&amp;n=514834&amp;date=14.10.2025&amp;dst=100036&amp;field=134" TargetMode = "External"/>
	<Relationship Id="rId9" Type="http://schemas.openxmlformats.org/officeDocument/2006/relationships/hyperlink" Target="https://login.consultant.ru/link/?req=doc&amp;base=EXP&amp;n=731991&amp;date=14.10.2025" TargetMode = "External"/>
	<Relationship Id="rId10" Type="http://schemas.openxmlformats.org/officeDocument/2006/relationships/hyperlink" Target="https://login.consultant.ru/link/?req=doc&amp;base=EXP&amp;n=731991&amp;date=14.10.2025&amp;dst=137621&amp;field=134" TargetMode = "External"/>
	<Relationship Id="rId11" Type="http://schemas.openxmlformats.org/officeDocument/2006/relationships/hyperlink" Target="https://login.consultant.ru/link/?req=doc&amp;base=LAW&amp;n=371416&amp;date=14.10.2025&amp;dst=119412&amp;field=134" TargetMode = "External"/>
	<Relationship Id="rId12" Type="http://schemas.openxmlformats.org/officeDocument/2006/relationships/hyperlink" Target="https://login.consultant.ru/link/?req=doc&amp;base=LAW&amp;n=371416&amp;date=14.10.2025&amp;dst=119518&amp;field=134" TargetMode = "External"/>
	<Relationship Id="rId13" Type="http://schemas.openxmlformats.org/officeDocument/2006/relationships/hyperlink" Target="https://login.consultant.ru/link/?req=doc&amp;base=LAW&amp;n=371416&amp;date=14.10.2025&amp;dst=104117&amp;field=134" TargetMode = "External"/>
	<Relationship Id="rId14" Type="http://schemas.openxmlformats.org/officeDocument/2006/relationships/hyperlink" Target="https://login.consultant.ru/link/?req=doc&amp;base=LAW&amp;n=371416&amp;date=14.10.2025&amp;dst=104127&amp;field=134" TargetMode = "External"/>
	<Relationship Id="rId15" Type="http://schemas.openxmlformats.org/officeDocument/2006/relationships/hyperlink" Target="https://login.consultant.ru/link/?req=doc&amp;base=LAW&amp;n=371416&amp;date=14.10.2025&amp;dst=105875&amp;field=134" TargetMode = "External"/>
	<Relationship Id="rId16" Type="http://schemas.openxmlformats.org/officeDocument/2006/relationships/hyperlink" Target="https://login.consultant.ru/link/?req=doc&amp;base=LAW&amp;n=371416&amp;date=14.10.2025&amp;dst=106121&amp;field=134" TargetMode = "External"/>
	<Relationship Id="rId17" Type="http://schemas.openxmlformats.org/officeDocument/2006/relationships/hyperlink" Target="https://login.consultant.ru/link/?req=doc&amp;base=LAW&amp;n=371416&amp;date=14.10.2025&amp;dst=120064&amp;field=134" TargetMode = "External"/>
	<Relationship Id="rId18" Type="http://schemas.openxmlformats.org/officeDocument/2006/relationships/hyperlink" Target="https://login.consultant.ru/link/?req=doc&amp;base=LAW&amp;n=371416&amp;date=14.10.2025&amp;dst=120068&amp;field=134" TargetMode = "External"/>
	<Relationship Id="rId19" Type="http://schemas.openxmlformats.org/officeDocument/2006/relationships/hyperlink" Target="https://login.consultant.ru/link/?req=doc&amp;base=LAW&amp;n=371416&amp;date=14.10.2025&amp;dst=119412&amp;field=134" TargetMode = "External"/>
	<Relationship Id="rId20" Type="http://schemas.openxmlformats.org/officeDocument/2006/relationships/hyperlink" Target="https://login.consultant.ru/link/?req=doc&amp;base=LAW&amp;n=371416&amp;date=14.10.2025&amp;dst=119414&amp;field=134" TargetMode = "External"/>
	<Relationship Id="rId21" Type="http://schemas.openxmlformats.org/officeDocument/2006/relationships/hyperlink" Target="https://login.consultant.ru/link/?req=doc&amp;base=LAW&amp;n=371416&amp;date=14.10.2025&amp;dst=119520&amp;field=134" TargetMode = "External"/>
	<Relationship Id="rId22" Type="http://schemas.openxmlformats.org/officeDocument/2006/relationships/hyperlink" Target="https://login.consultant.ru/link/?req=doc&amp;base=LAW&amp;n=371416&amp;date=14.10.2025&amp;dst=119522&amp;field=134" TargetMode = "External"/>
	<Relationship Id="rId23" Type="http://schemas.openxmlformats.org/officeDocument/2006/relationships/hyperlink" Target="https://login.consultant.ru/link/?req=doc&amp;base=LAW&amp;n=371416&amp;date=14.10.2025&amp;dst=103953&amp;field=134" TargetMode = "External"/>
	<Relationship Id="rId24" Type="http://schemas.openxmlformats.org/officeDocument/2006/relationships/hyperlink" Target="https://login.consultant.ru/link/?req=doc&amp;base=LAW&amp;n=371416&amp;date=14.10.2025&amp;dst=104117&amp;field=134" TargetMode = "External"/>
	<Relationship Id="rId25" Type="http://schemas.openxmlformats.org/officeDocument/2006/relationships/hyperlink" Target="https://login.consultant.ru/link/?req=doc&amp;base=LAW&amp;n=371416&amp;date=14.10.2025&amp;dst=120064&amp;field=134" TargetMode = "External"/>
	<Relationship Id="rId26" Type="http://schemas.openxmlformats.org/officeDocument/2006/relationships/hyperlink" Target="https://login.consultant.ru/link/?req=doc&amp;base=LAW&amp;n=371416&amp;date=14.10.2025&amp;dst=120068&amp;field=134" TargetMode = "External"/>
	<Relationship Id="rId27" Type="http://schemas.openxmlformats.org/officeDocument/2006/relationships/hyperlink" Target="https://login.consultant.ru/link/?req=doc&amp;base=LAW&amp;n=371416&amp;date=14.10.2025&amp;dst=113263&amp;field=134" TargetMode = "External"/>
	<Relationship Id="rId28" Type="http://schemas.openxmlformats.org/officeDocument/2006/relationships/hyperlink" Target="https://login.consultant.ru/link/?req=doc&amp;base=EXP&amp;n=731991&amp;date=14.10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03.08.2021 N 830н
"Об утверждении стандарта медицинской помощи взрослым при анемии, обусловленной хронической болезнью почек (диагностика и лечение)"
(Зарегистрировано в Минюсте России 03.09.2021 N 64893)</dc:title>
  <dcterms:created xsi:type="dcterms:W3CDTF">2025-10-14T05:22:06Z</dcterms:created>
</cp:coreProperties>
</file>